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17"/>
        <w:gridCol w:w="5471"/>
        <w:gridCol w:w="1732"/>
      </w:tblGrid>
      <w:tr w:rsidR="0065250C" w:rsidRPr="0065250C" w:rsidTr="007E3330">
        <w:tc>
          <w:tcPr>
            <w:tcW w:w="1526" w:type="dxa"/>
            <w:vMerge w:val="restart"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object w:dxaOrig="117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3pt" o:ole="">
                  <v:imagedata r:id="rId5" o:title=""/>
                </v:shape>
                <o:OLEObject Type="Embed" ProgID="PBrush" ShapeID="_x0000_i1025" DrawAspect="Content" ObjectID="_1400991774" r:id="rId6"/>
              </w:object>
            </w:r>
          </w:p>
        </w:tc>
        <w:tc>
          <w:tcPr>
            <w:tcW w:w="5670" w:type="dxa"/>
          </w:tcPr>
          <w:p w:rsidR="0065250C" w:rsidRDefault="0065250C" w:rsidP="0065250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COLEGIO METROPOLITANO DEL SUR</w:t>
            </w:r>
          </w:p>
          <w:p w:rsidR="00F375BE" w:rsidRPr="004D0889" w:rsidRDefault="00F375BE" w:rsidP="0065250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4D0889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Vía 33 # 117 – 100 Nuevo VillabelTel: 6392562</w:t>
            </w:r>
          </w:p>
          <w:p w:rsidR="00F375BE" w:rsidRPr="0065250C" w:rsidRDefault="00F375BE" w:rsidP="00F375B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4D0889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Floridablanca</w:t>
            </w:r>
          </w:p>
          <w:p w:rsidR="0065250C" w:rsidRPr="0065250C" w:rsidRDefault="0065250C" w:rsidP="0065250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82" w:type="dxa"/>
            <w:vMerge w:val="restart"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Código</w:t>
            </w: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PGF-02</w:t>
            </w:r>
          </w:p>
        </w:tc>
      </w:tr>
      <w:tr w:rsidR="0065250C" w:rsidRPr="0065250C" w:rsidTr="007E3330">
        <w:tc>
          <w:tcPr>
            <w:tcW w:w="1526" w:type="dxa"/>
            <w:vMerge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0" w:type="dxa"/>
          </w:tcPr>
          <w:p w:rsidR="0065250C" w:rsidRPr="0065250C" w:rsidRDefault="0065250C" w:rsidP="0065250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Proceso: </w:t>
            </w: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Gestión de Formación</w:t>
            </w:r>
          </w:p>
        </w:tc>
        <w:tc>
          <w:tcPr>
            <w:tcW w:w="1782" w:type="dxa"/>
            <w:vMerge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65250C" w:rsidRPr="0065250C" w:rsidTr="007E3330">
        <w:tc>
          <w:tcPr>
            <w:tcW w:w="1526" w:type="dxa"/>
            <w:vMerge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0" w:type="dxa"/>
          </w:tcPr>
          <w:p w:rsidR="0065250C" w:rsidRPr="0065250C" w:rsidRDefault="0065250C" w:rsidP="0065250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Procedimiento:</w:t>
            </w:r>
          </w:p>
          <w:p w:rsidR="0065250C" w:rsidRPr="0065250C" w:rsidRDefault="0065250C" w:rsidP="0065250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DISEÑO CURRICULAR</w:t>
            </w:r>
          </w:p>
        </w:tc>
        <w:tc>
          <w:tcPr>
            <w:tcW w:w="1782" w:type="dxa"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Página 14 de 18</w:t>
            </w:r>
          </w:p>
        </w:tc>
      </w:tr>
    </w:tbl>
    <w:p w:rsidR="0065250C" w:rsidRPr="0065250C" w:rsidRDefault="0065250C" w:rsidP="0065250C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:rsidR="0065250C" w:rsidRPr="0065250C" w:rsidRDefault="0065250C" w:rsidP="0065250C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val="es-MX"/>
        </w:rPr>
      </w:pPr>
      <w:r w:rsidRPr="0065250C">
        <w:rPr>
          <w:rFonts w:ascii="Arial" w:eastAsiaTheme="minorHAnsi" w:hAnsi="Arial" w:cs="Arial"/>
          <w:sz w:val="20"/>
          <w:szCs w:val="20"/>
          <w:lang w:val="es-MX"/>
        </w:rPr>
        <w:t xml:space="preserve">9.4 </w:t>
      </w:r>
      <w:r w:rsidRPr="0065250C">
        <w:rPr>
          <w:rFonts w:ascii="Arial" w:eastAsiaTheme="minorHAnsi" w:hAnsi="Arial" w:cs="Arial"/>
          <w:b/>
          <w:sz w:val="20"/>
          <w:szCs w:val="20"/>
          <w:u w:val="single"/>
          <w:lang w:val="es-MX"/>
        </w:rPr>
        <w:t>Anexo 4: PGF-02-R05 Proyectos Pedagógicos de formación e investigación</w:t>
      </w:r>
    </w:p>
    <w:tbl>
      <w:tblPr>
        <w:tblStyle w:val="Tablaconcuadrcula"/>
        <w:tblW w:w="0" w:type="auto"/>
        <w:tblLook w:val="04A0"/>
      </w:tblPr>
      <w:tblGrid>
        <w:gridCol w:w="2216"/>
        <w:gridCol w:w="4751"/>
        <w:gridCol w:w="1753"/>
      </w:tblGrid>
      <w:tr w:rsidR="0065250C" w:rsidRPr="0065250C" w:rsidTr="007E3330">
        <w:trPr>
          <w:trHeight w:val="275"/>
        </w:trPr>
        <w:tc>
          <w:tcPr>
            <w:tcW w:w="2228" w:type="dxa"/>
            <w:vMerge w:val="restart"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noProof/>
                <w:sz w:val="20"/>
                <w:szCs w:val="20"/>
                <w:u w:val="single"/>
                <w:lang w:val="es-ES_tradnl" w:eastAsia="es-ES_tradn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31115</wp:posOffset>
                  </wp:positionV>
                  <wp:extent cx="1136015" cy="704850"/>
                  <wp:effectExtent l="19050" t="0" r="6985" b="0"/>
                  <wp:wrapSquare wrapText="bothSides"/>
                  <wp:docPr id="2" name="Imagen 2" descr="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8" w:type="dxa"/>
            <w:vMerge w:val="restart"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  <w:p w:rsidR="0065250C" w:rsidRPr="0065250C" w:rsidRDefault="0065250C" w:rsidP="0065250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PROYECTOS PEDAGÓGICOS DE FORMACIÓN E INVESTIGACIÓN</w:t>
            </w:r>
          </w:p>
        </w:tc>
        <w:tc>
          <w:tcPr>
            <w:tcW w:w="1812" w:type="dxa"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Código</w:t>
            </w: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PGF-02-R05</w:t>
            </w:r>
          </w:p>
        </w:tc>
      </w:tr>
      <w:tr w:rsidR="0065250C" w:rsidRPr="0065250C" w:rsidTr="007E3330">
        <w:trPr>
          <w:trHeight w:val="727"/>
        </w:trPr>
        <w:tc>
          <w:tcPr>
            <w:tcW w:w="2228" w:type="dxa"/>
            <w:vMerge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  <w:tc>
          <w:tcPr>
            <w:tcW w:w="4968" w:type="dxa"/>
            <w:vMerge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  <w:tc>
          <w:tcPr>
            <w:tcW w:w="1812" w:type="dxa"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FECHA:</w:t>
            </w: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10-01-2012</w:t>
            </w:r>
          </w:p>
        </w:tc>
      </w:tr>
    </w:tbl>
    <w:p w:rsidR="0065250C" w:rsidRPr="0065250C" w:rsidRDefault="0065250C" w:rsidP="0065250C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65250C" w:rsidRPr="0065250C" w:rsidTr="007E3330">
        <w:tc>
          <w:tcPr>
            <w:tcW w:w="8978" w:type="dxa"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u w:val="single"/>
                <w:lang w:val="es-MX"/>
              </w:rPr>
            </w:pPr>
          </w:p>
          <w:p w:rsidR="0065250C" w:rsidRPr="0065250C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sz w:val="20"/>
                <w:szCs w:val="20"/>
                <w:u w:val="single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Identificación del proyecto</w:t>
            </w: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:</w:t>
            </w:r>
            <w:r w:rsidRPr="00F375B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Descanso Activo</w:t>
            </w:r>
          </w:p>
          <w:p w:rsidR="0065250C" w:rsidRPr="0065250C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Duración</w:t>
            </w: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: Todo el año escolar</w:t>
            </w:r>
          </w:p>
          <w:p w:rsidR="0065250C" w:rsidRPr="0065250C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Integrantes</w:t>
            </w: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: Profesores y estudiantes</w:t>
            </w:r>
          </w:p>
          <w:p w:rsidR="0065250C" w:rsidRPr="00F375BE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Responsables</w:t>
            </w: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: </w:t>
            </w:r>
            <w:r w:rsidRPr="00F375B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LUIS LOZADA RUIZ</w:t>
            </w:r>
          </w:p>
          <w:p w:rsidR="0065250C" w:rsidRPr="00F375BE" w:rsidRDefault="0065250C" w:rsidP="00F375BE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F375B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LEONARDO PRADA MARTINEZ</w:t>
            </w:r>
          </w:p>
          <w:p w:rsidR="0065250C" w:rsidRPr="00F375BE" w:rsidRDefault="0065250C" w:rsidP="00F375BE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F375B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OSCAR JAVIER MEZA </w:t>
            </w:r>
          </w:p>
          <w:p w:rsidR="004D0889" w:rsidRPr="004D0889" w:rsidRDefault="004D0889" w:rsidP="004D0889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D0889">
              <w:rPr>
                <w:rFonts w:ascii="Arial" w:hAnsi="Arial" w:cs="Arial"/>
                <w:b/>
                <w:sz w:val="20"/>
                <w:szCs w:val="20"/>
              </w:rPr>
              <w:t>Correos Electrónicos:</w:t>
            </w:r>
            <w:hyperlink r:id="rId8" w:history="1">
              <w:r w:rsidRPr="004D0889">
                <w:rPr>
                  <w:rStyle w:val="Hipervnculo"/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t>luislozadaruiz2004@conexcol.com</w:t>
              </w:r>
            </w:hyperlink>
          </w:p>
          <w:p w:rsidR="004D0889" w:rsidRPr="00F375BE" w:rsidRDefault="006822FF" w:rsidP="004D088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hyperlink r:id="rId9" w:history="1">
              <w:r w:rsidR="004D0889" w:rsidRPr="00F375BE">
                <w:rPr>
                  <w:rStyle w:val="Hipervnculo"/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t>leonardoprada@hotmail.com</w:t>
              </w:r>
            </w:hyperlink>
          </w:p>
          <w:p w:rsidR="004D0889" w:rsidRPr="00F375BE" w:rsidRDefault="004D0889" w:rsidP="004D0889">
            <w:pPr>
              <w:rPr>
                <w:rStyle w:val="Hipervnculo"/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375BE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t>oscarjmezao1965</w:t>
            </w:r>
            <w:hyperlink r:id="rId10" w:history="1">
              <w:r w:rsidRPr="00F375BE">
                <w:rPr>
                  <w:rStyle w:val="Hipervnculo"/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t>@hotmail.com</w:t>
              </w:r>
            </w:hyperlink>
          </w:p>
          <w:p w:rsidR="0065250C" w:rsidRPr="007C3422" w:rsidRDefault="004D0889" w:rsidP="0065250C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CO"/>
              </w:rPr>
            </w:pPr>
            <w:r w:rsidRPr="00F375BE">
              <w:rPr>
                <w:rFonts w:ascii="Arial" w:hAnsi="Arial" w:cs="Arial"/>
                <w:b/>
                <w:vanish/>
                <w:color w:val="1F497D" w:themeColor="text2"/>
                <w:sz w:val="20"/>
                <w:szCs w:val="20"/>
                <w:lang w:val="es-CO"/>
              </w:rPr>
              <w:t>qQQ</w:t>
            </w:r>
            <w:r w:rsidRPr="00F375BE">
              <w:rPr>
                <w:rFonts w:ascii="Arial" w:hAnsi="Arial" w:cs="Arial"/>
                <w:b/>
                <w:vanish/>
                <w:color w:val="1F497D" w:themeColor="text2"/>
                <w:sz w:val="20"/>
                <w:szCs w:val="20"/>
                <w:lang w:val="en-US"/>
              </w:rPr>
              <w:t></w:t>
            </w:r>
          </w:p>
          <w:p w:rsidR="0065250C" w:rsidRPr="00F375BE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Descripción de la realidad</w:t>
            </w:r>
          </w:p>
          <w:p w:rsidR="0065250C" w:rsidRPr="0065250C" w:rsidRDefault="0065250C" w:rsidP="0065250C">
            <w:pPr>
              <w:ind w:left="720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  <w:p w:rsidR="0065250C" w:rsidRPr="0065250C" w:rsidRDefault="004D0889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Buscando que los estudiantes hagan un uso adecuado de su tiempo libre</w:t>
            </w:r>
            <w:r w:rsidR="00117A56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 xml:space="preserve"> aprovechando que durante el momento del descanso</w:t>
            </w:r>
            <w:r w:rsidR="00117A56">
              <w:rPr>
                <w:rFonts w:ascii="Arial" w:hAnsi="Arial" w:cs="Arial"/>
                <w:sz w:val="20"/>
                <w:szCs w:val="20"/>
              </w:rPr>
              <w:t xml:space="preserve"> quieren compartir</w:t>
            </w:r>
            <w:r>
              <w:rPr>
                <w:rFonts w:ascii="Arial" w:hAnsi="Arial" w:cs="Arial"/>
                <w:sz w:val="20"/>
                <w:szCs w:val="20"/>
              </w:rPr>
              <w:t xml:space="preserve"> con sus compañeros y desarrollar cualquier tipo de actividad diferente a la </w:t>
            </w:r>
            <w:r w:rsidR="00586D95">
              <w:rPr>
                <w:rFonts w:ascii="Arial" w:hAnsi="Arial" w:cs="Arial"/>
                <w:sz w:val="20"/>
                <w:szCs w:val="20"/>
              </w:rPr>
              <w:t>académica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17A56">
              <w:rPr>
                <w:rFonts w:ascii="Arial" w:hAnsi="Arial" w:cs="Arial"/>
                <w:sz w:val="20"/>
                <w:szCs w:val="20"/>
              </w:rPr>
              <w:t xml:space="preserve"> hemos querido distribuir, entre aquellos que voluntariamente lo soliciten, diferentes tipos de juegos que generen, en forma lúdica, procesos de pensamiento, estrategias, esparcimiento e integración.    </w:t>
            </w: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65250C" w:rsidRPr="0065250C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Objetivo General</w:t>
            </w:r>
          </w:p>
          <w:p w:rsidR="0065250C" w:rsidRPr="00F375BE" w:rsidRDefault="0065250C" w:rsidP="006525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50C" w:rsidRPr="00F375BE" w:rsidRDefault="0065250C" w:rsidP="00652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5BE">
              <w:rPr>
                <w:rFonts w:ascii="Arial" w:hAnsi="Arial" w:cs="Arial"/>
                <w:sz w:val="20"/>
                <w:szCs w:val="20"/>
              </w:rPr>
              <w:t xml:space="preserve">Crear espacios de aprovechamiento del tiempo libre. </w:t>
            </w:r>
          </w:p>
          <w:p w:rsidR="0065250C" w:rsidRPr="00F375BE" w:rsidRDefault="0065250C" w:rsidP="006525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65250C" w:rsidRPr="00F375BE" w:rsidRDefault="0065250C" w:rsidP="00F375BE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F375BE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Objetivos específicos:</w:t>
            </w:r>
          </w:p>
          <w:p w:rsidR="0065250C" w:rsidRPr="0065250C" w:rsidRDefault="0065250C" w:rsidP="0065250C">
            <w:pPr>
              <w:ind w:left="720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  <w:p w:rsidR="0065250C" w:rsidRPr="00F375BE" w:rsidRDefault="0065250C" w:rsidP="00F375BE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5BE">
              <w:rPr>
                <w:rFonts w:ascii="Arial" w:hAnsi="Arial" w:cs="Arial"/>
                <w:sz w:val="20"/>
                <w:szCs w:val="20"/>
              </w:rPr>
              <w:t xml:space="preserve">Motivar </w:t>
            </w:r>
            <w:r w:rsidR="00117A56">
              <w:rPr>
                <w:rFonts w:ascii="Arial" w:hAnsi="Arial" w:cs="Arial"/>
                <w:sz w:val="20"/>
                <w:szCs w:val="20"/>
              </w:rPr>
              <w:t>el pensamiento lógico.</w:t>
            </w:r>
          </w:p>
          <w:p w:rsidR="0065250C" w:rsidRPr="00F375BE" w:rsidRDefault="0065250C" w:rsidP="00F375BE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5BE">
              <w:rPr>
                <w:rFonts w:ascii="Arial" w:hAnsi="Arial" w:cs="Arial"/>
                <w:sz w:val="20"/>
                <w:szCs w:val="20"/>
              </w:rPr>
              <w:t>Generar actividades lúdicas durante los descansos</w:t>
            </w:r>
            <w:r w:rsidR="00117A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250C" w:rsidRDefault="0065250C" w:rsidP="00F375BE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5BE">
              <w:rPr>
                <w:rFonts w:ascii="Arial" w:hAnsi="Arial" w:cs="Arial"/>
                <w:sz w:val="20"/>
                <w:szCs w:val="20"/>
              </w:rPr>
              <w:t>Prop</w:t>
            </w:r>
            <w:r w:rsidR="00117A56">
              <w:rPr>
                <w:rFonts w:ascii="Arial" w:hAnsi="Arial" w:cs="Arial"/>
                <w:sz w:val="20"/>
                <w:szCs w:val="20"/>
              </w:rPr>
              <w:t>iciar comportamientos apropiados.</w:t>
            </w:r>
          </w:p>
          <w:p w:rsidR="00F375BE" w:rsidRDefault="00117A56" w:rsidP="00F375BE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</w:t>
            </w:r>
            <w:r w:rsidR="00F375BE">
              <w:rPr>
                <w:rFonts w:ascii="Arial" w:hAnsi="Arial" w:cs="Arial"/>
                <w:sz w:val="20"/>
                <w:szCs w:val="20"/>
              </w:rPr>
              <w:t>r actividades de aprovechamiento del tiempo libre.</w:t>
            </w:r>
          </w:p>
          <w:p w:rsidR="00117A56" w:rsidRPr="00117A56" w:rsidRDefault="00117A56" w:rsidP="00117A56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Integrar las áreas del conocimiento entorno a actividades lúdicas.</w:t>
            </w: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65250C" w:rsidRPr="0065250C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Fundamentación Teórica</w:t>
            </w:r>
          </w:p>
          <w:p w:rsidR="0065250C" w:rsidRPr="0065250C" w:rsidRDefault="0065250C" w:rsidP="0065250C">
            <w:pPr>
              <w:ind w:left="720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A nivel mundial, se hace referencia a la urgente demanda de cambios cualitativos en el ámbito de la enseñanza de la matemática, como: en el campo de la resolución de problemas (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Schoenfeld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A.,1985; Guzmán M., 1993; Mora A. y Morales J., 1995,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Campistrous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L. y Rizo C., 1996; Sánchez J. y Fernández B., 2003), en la enseñanza basada en métodos sistémicos (Hernández H., 1997) la enseñanza por proyectos (Mora D., 2003a; Da Ponte J., y otros, 1998), la enseñanza basada en las estaciones (Mora D., 2003b), los juegos en la educación matemática (Fernández J. y Rodríguez M., 1997), la experimentación en matemática, la 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lastRenderedPageBreak/>
              <w:t>demostración (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Serres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Y., 2002, Mora D., 2003c), las aplicaciones y su proceso de modelación (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Blum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, W., 1985 y Mora D., 2002); los cuales, sin restarles su gran aporte didáctico, se centran más en la parte instrumental sin profundizar en el conocimiento de los fundamentos de la enseñanza-aprendizaje de la matemática. Estas mismas limitaciones se constatan en investigaciones relativas a la formación de formadores, las que han puesto de manifiesto lo inadecuado de sus programas (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Azcárate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P., 1998).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En esa vertiente se indica que la universidad formadora de formadores debe abocarse a la transformación de los programas de formación en pro de dar respuestas favorables a esta exigencia universal (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Azcárate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P., 1998; González F., 2000; Mora D., 2003) de formar a un profesional reflexivo, que plantee soluciones a los problemas de enseñanza-aprendizaje de la matemática en un contexto social, similares a las que diseñarán y desarrollarán durante su desempeño profesional como maestro de la E.B. (González F., 2000, Mora D., 2003); porque es necesario enseñar a los futuros docentes como nosotros deseamos que ellos enseñen en el futuro (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Steen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L., 1988).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Para explicar cómo ocurre el proceso de formación del pensamiento teórico con más precisión, este enfoque teórico se apoya en el método de desarrollo histórico-lógico del conocimiento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 xml:space="preserve">, 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el método de la lógica dialéctica, el cual permite explicar el movimiento que caracteriza al pensamiento en el proceso de la obtención del conocimiento científico y es la 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 xml:space="preserve">ascensión de lo abstracto a lo concretopensado 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que fue desarrollado por A.V.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Davidov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(1986), E.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Ilienkov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(citado por Colectivo de autores, 1995) entre otros autores importantes.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Este método se apoya en la generalización teórica que permite develar lo general en lo particular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(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Davidov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V., 1986) y está relacionado con un sistema articulado de categorías, principios y leyes que sustentan una teoría de enseñanza-aprendizaje que integra lo pedagógico y lo psicológico en un modelo didáctico para el desarrollo del conocimiento científico en la escuela. Entre estos modelos, en el EHC </w:t>
            </w:r>
            <w:proofErr w:type="gram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figuran</w:t>
            </w:r>
            <w:proofErr w:type="gram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el de los objetivos, contenidos y proceso.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El 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 xml:space="preserve">modelo de los objetivos 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responde a la pregunta ¿para qué? del proceso de enseñanza aprendizaje, e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 xml:space="preserve">l modelo de los contenidos 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establece en principio el ¿qué? y, el 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 xml:space="preserve">modelo delproceso 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responde a la pregunta ¿cómo enseñar</w:t>
            </w:r>
            <w:proofErr w:type="gram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?.</w:t>
            </w:r>
            <w:proofErr w:type="gram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Estos modelos se integran para alcanzar el objetivo a través de la 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>tarea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, momento didáctico que permite la actuación del grupo o estudiante como sujeto y objeto de su desarrollo por medio de 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 xml:space="preserve">métodos y medios, 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concebidos para mediatizar la acción del estudiante sobre el objeto del conocimiento, alcanzar las metas, guiar el proceso de enseñanza y de aprendizaje.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En relación a la 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>evaluación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, se destaca su carácter formativo, ya que constituye un momento más en el proceso de aprendizaje que coadyuva al desarrollo del estudiante (González M., 2000) y sigue lineamientos de la metodología de enseñanza sistémica (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Talizina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N., 1985;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Rezhetova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Z., 1988;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Salmina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N., 1988). Está encaminada al control y la valoración de las tareas que realiza el estudiante.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Las categorías didácticas antes señaladas se combinan con formas de trabajo grupal en tanto, como planteara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Vigotsky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, el hombre solo aprende con la ayuda de los otros.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En esa dirección el 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 xml:space="preserve">aprendizaje grupal 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adquiere una dimensión particular en las propuestas de enseñanza según el EHC, a partir del enfoque marxista del grupo, que surge como problemática social en la década de 1920 en los trabajos de V. A.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Bejterev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; M. A.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Reisner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; L. N.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Voitolovski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; A. B.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Zalkind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y los aportes pedagógicos de A. S.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Makarenko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que se consolidan, entre otros, con los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proofErr w:type="gram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trabajos</w:t>
            </w:r>
            <w:proofErr w:type="gram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de A.V.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Petrovsky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y los aportes de V.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Liaudis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, así como importantes investigaciones cubanas (Castellanos A., 1995; Febles, M., 1996; Calviño M., 1998; Viñas G.,. 2004; González M., 2002;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Kraftchenko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O. y Segarte A., 2003).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Estos aportes permiten afirmar que el grupo configurado en la tarea puede actuar en calidad de sujeto de la actividad y que la actividad es el punto de partida, el criterio objetivo para la constitución del grupo, lo cual sirve de base para alcanzar la constitución del sujeto grupal y la ZDP grupal propuestas por Ana Castellanos (1999) en su tesis de doctorado.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La función de formador, de acuerdo a este enfoque, es dejar de ser un simple transmisor de conocimientos para convertirse en un orientador del aprendizaje, un dirigente del proceso de enseñanza-aprendizaje, un guía y un modelo educativo de sus estudiantes (González V., 1999, 2003, 2004), en tanto que el estudiante es el centro del proceso docente educativo; a partir de una formación que le permita obtener herramientas psicopedagógicas para orientar y dirigir el proceso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proofErr w:type="gram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hacia</w:t>
            </w:r>
            <w:proofErr w:type="gram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un trabajo formativo, lo que se instrumenta a través de la tarea docente y de todo el sistema de influencias comunicativas, crítica-reflexiva acerca de su tarea formativa y de su actividad profesional.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Se destaca que este enfoque fundamenta la 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 xml:space="preserve">enseñanza 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a partir del método de la 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>investigación acción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, el cual hace que el proceso formativo sea de carácter abierto y emancipador, propiciando nuevos referentes dinámicos y flexibles caracterizados por un proceso de producción de conocimientos que se generan en el proceso de transformación de la realidad, a través de la investigación, desde las situaciones de la vida de los participantes hacia lo interno de su desarrollo.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La concepción de 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 xml:space="preserve">grupo 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en la didáctica crítica se asume sobre la base de la racionalidad emancipadora, que propicia un proceso de cambio y transformación en forma de espiral, que lleva a formadores y estudiantes a construir y perfeccionar su conocimiento desde el consenso, el entendimiento y el acuerdo, dentro de una relación de horizontalidad, igualdad y respeto mutuo, propiciando la fuerza del vínculo entre la teoría y la práctica a partir de la investigación como estrategia metodológica, que contribuye a la transformación de la educación en la escuela.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Se destaca de la teoría de Pichón R. que el grupo operativo se rige por un </w:t>
            </w:r>
            <w:r w:rsidRPr="007C342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  <w:t xml:space="preserve">Esquema Conceptual Referencial y Operativo 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(ECRO) que hace al aprendizaje operativo, en un proceso de espiraldialéctica, y el cual debe ser objeto de constante indagación. Este se fundamenta en el métododialéctico, en la espiral del conocimiento, consiste en un cuerpo o conjunto de experiencias (reales aun determinado universo del discurso), conocimientos (generales, teóricos) y afectos, con los que el individuo piensa y actúa, con la intención de transformar la realidad.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Se establece que los supuestos teórico-metodológicos presentes en la concepción del grupo operativo enriquecen los fundamentos teóricos y sobre todo los aspectos metodológicos del trabajo grupal en la enseñanza que han sido trabajados desde el EHC y la Teoría Crítica. Resalta que la coincidencia entre A. N. </w:t>
            </w:r>
            <w:proofErr w:type="spellStart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Leontiev</w:t>
            </w:r>
            <w:proofErr w:type="spellEnd"/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y Pichón R., nos advierten, desde su concepción, la importancia de las necesidades existentes en los sujetos, sus potencialidades afectivas, y, cómo abrir el camino para el desarrollo o surgimiento de nuevas necesidades, motivos e intereses. </w:t>
            </w:r>
          </w:p>
          <w:p w:rsidR="007C3422" w:rsidRPr="007C3422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8F236B" w:rsidRDefault="007C3422" w:rsidP="007C34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Finalmente, se valora esta concepción que enriquece el aprendizaje grupal como recurso metodológico para abordar el proceso de enseñanza-aprendizaje, ya que fortalece el vínculo de lo afectivo y lo cognitivo, y en la enseñanza propicia las vías didácticas para desarrollar la ZDP grupal y a través de ella, la ZDP individual, así como permite fortalecer las relaciones de los miembros del grupo en el hacer de la tarea.</w:t>
            </w:r>
          </w:p>
          <w:p w:rsidR="008F236B" w:rsidRDefault="008F236B" w:rsidP="006525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8F236B" w:rsidRPr="0065250C" w:rsidRDefault="008F236B" w:rsidP="006525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65250C" w:rsidRPr="0065250C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Justificación</w:t>
            </w:r>
          </w:p>
          <w:p w:rsidR="0065250C" w:rsidRPr="0065250C" w:rsidRDefault="0065250C" w:rsidP="0065250C">
            <w:pPr>
              <w:ind w:left="720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  <w:p w:rsidR="0065250C" w:rsidRDefault="00117A56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Basado en las teorías de las inteligencias múltiples de </w:t>
            </w:r>
            <w:r w:rsidR="008376D3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Howard 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Gar</w:t>
            </w:r>
            <w:r w:rsidR="008376D3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dne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</w:t>
            </w:r>
            <w:r w:rsidR="00586D95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(</w:t>
            </w:r>
            <w:r w:rsidR="00586D95"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referencia)</w:t>
            </w:r>
            <w:r w:rsidR="008568F5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, sería un verdadero descanso realizar</w:t>
            </w:r>
            <w:r w:rsidR="00586D95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aquella actividad en la cual los estudiantes se sientan</w:t>
            </w:r>
            <w:r w:rsidR="008568F5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bien, es decir que las posibilidades de desempeñarme en lo que me gusta no estuviese truncada </w:t>
            </w:r>
            <w:r w:rsidR="00586D95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por un espacio limitado y más aún por falta de material, para poder realizar actividades como</w:t>
            </w:r>
            <w:r w:rsidR="008568F5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bailar, jugar, correr, hablar, bailar, ora</w:t>
            </w:r>
            <w:r w:rsidR="00586D95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r, caminar, etc.  Se pretende implementar</w:t>
            </w:r>
            <w:r w:rsidR="008568F5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este proyecto como un primer paso para la creación de un espacio de descanso activo donde el estudiante se sienta bien con la actividad que realice</w:t>
            </w:r>
            <w:r w:rsidR="008F236B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, y que le es muy difícil ejecutar en el aula y que no se consideran importantes, </w:t>
            </w:r>
            <w:r w:rsidR="008568F5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y además canalizar dichas actividades para   generar procesos de aprendizaje que de una u otra manera potencien y desarrollen la inteligencia de nuestros estudiantes</w:t>
            </w:r>
            <w:r w:rsidR="008F236B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, lo cual es el objetivo de nuestro programa educativo.</w:t>
            </w:r>
          </w:p>
          <w:p w:rsidR="008568F5" w:rsidRDefault="008568F5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8568F5" w:rsidRPr="008568F5" w:rsidRDefault="008F236B" w:rsidP="008568F5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He notado en el tiempo de mi trabajo, que cuando a un estudiante se le reconocen aquellas cosas que realiza bien se motiva y su desempeño mejora, pero como identificar a aquellos que poseen otros tipos de inteligencias, y lo que es más importante como evitar que se frustren o caigan en la mediocridad sin merecerlo o teniendo otras facultades.  </w:t>
            </w:r>
            <w:r w:rsidR="008568F5" w:rsidRPr="008568F5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Así puede explicarse por ejemplo que haya tanto médico erudito ejerciendo sin la inteligencia emocional suficiente para tratar con personas, o que se pase por alto y hasta se desprestigie la inteligencia corporal de un niño, que en circunstancias idóneas podría ser un bailarín competente y ganarse la vida dignamente con ello. A la clásica dicotomía mencionada habría pues que adosarle más opciones: ¿Ciencias o letras? ¿Danza o deporte? ¿Visualización espacial o trabajo emocional? ¿Tal vez música? ¿O naturaleza? A la vista de las teorías de Gardner todas ellas son opciones igual respetables, igual de inteligentes.</w:t>
            </w:r>
          </w:p>
          <w:p w:rsidR="008568F5" w:rsidRDefault="008568F5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363A64" w:rsidRPr="00363A64" w:rsidRDefault="00363A64" w:rsidP="00363A64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En el </w:t>
            </w:r>
            <w:r w:rsidR="009577D1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receso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de actividades académicas existe un gran espacio para implementar actividades que potencien  otras inteligencias, y en este caso e inicialmente en el juego lúdico, la oportunidad de poner en </w:t>
            </w:r>
            <w:r w:rsidR="009577D1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práctica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 facultades como</w:t>
            </w:r>
            <w:r w:rsidRPr="00363A64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la inteligencia intrapersonal -aquella relativa </w:t>
            </w:r>
            <w:r w:rsidRPr="00363A64">
              <w:rPr>
                <w:rFonts w:ascii="Arial" w:eastAsiaTheme="minorHAnsi" w:hAnsi="Arial" w:cs="Arial"/>
                <w:sz w:val="20"/>
                <w:szCs w:val="20"/>
                <w:lang w:val="es-MX"/>
              </w:rPr>
              <w:lastRenderedPageBreak/>
              <w:t>a las emociones y los sentimientos- a l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a hora de decidir y tomar decisiones, o</w:t>
            </w:r>
            <w:r w:rsidRPr="00363A64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de la inteligencia interpersonal, aquella que permite una comunicación fluida y r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ica con los compañeros que se integran, o</w:t>
            </w:r>
            <w:r w:rsidRPr="00363A64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la inteligencia corporal cinestésica, particularmente cuando el cuerpo se vuelve un importante elemento expresivo, pues para ello es 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necesaria la</w:t>
            </w:r>
            <w:r w:rsidRPr="00363A64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conexión entre el cuerpo y la esfera emocional. La inteligencia espacial y la musical son áreas que tampoco quedan lejos de la esc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ena en la evolución del proyecto que buscara la integración del</w:t>
            </w:r>
            <w:r w:rsidR="009577D1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arte</w:t>
            </w:r>
            <w:r w:rsidRPr="00363A64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y la música.</w:t>
            </w:r>
          </w:p>
          <w:p w:rsidR="00363A64" w:rsidRPr="00363A64" w:rsidRDefault="00363A64" w:rsidP="00363A64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363A64" w:rsidRPr="00363A64" w:rsidRDefault="00363A64" w:rsidP="00363A64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363A64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La conclusión de todo ello es clara: ya se</w:t>
            </w:r>
            <w:r w:rsidR="009577D1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a de forma de </w:t>
            </w:r>
            <w:r w:rsidRPr="00363A64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actividad </w:t>
            </w:r>
            <w:r w:rsidR="009577D1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lúdica escolar</w:t>
            </w:r>
            <w:r w:rsidRPr="00363A64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, como </w:t>
            </w:r>
            <w:r w:rsidR="009577D1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juego de descanso, la diversidad de prácticas  planificadas,</w:t>
            </w:r>
            <w:r w:rsidRPr="00363A64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es una manera saludable de poner en forma nuestras múltiples inteligencias.</w:t>
            </w:r>
          </w:p>
          <w:p w:rsidR="00F92016" w:rsidRDefault="00F92016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8568F5" w:rsidRPr="0065250C" w:rsidRDefault="008568F5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65250C" w:rsidRPr="0065250C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Evaluación</w:t>
            </w:r>
          </w:p>
          <w:p w:rsidR="0065250C" w:rsidRPr="0065250C" w:rsidRDefault="0065250C" w:rsidP="0065250C">
            <w:pPr>
              <w:ind w:left="720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  <w:p w:rsidR="007C3422" w:rsidRPr="007C3422" w:rsidRDefault="007C3422" w:rsidP="007C342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La evaluación del proyecto de descanso activo 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se re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alizara diariamente a través de la observación de la evolución y grado de aceptación por parte de los estudiantes, al finalizar cada periodo académico se aplicara una encuesta para conocer el impacto que ha tenido el proyecto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</w:p>
          <w:p w:rsidR="007C3422" w:rsidRPr="007C3422" w:rsidRDefault="007C3422" w:rsidP="007C342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Se </w:t>
            </w:r>
            <w:r w:rsidR="00C97D7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contara con el apoyo de estudiantes que realizan su servicio social en la institución y de los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docente</w:t>
            </w:r>
            <w:r w:rsidR="00C97D7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s en sus respectivos turnos de acompañamiento en las horas del descanso, quienes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orientara</w:t>
            </w:r>
            <w:r w:rsidR="00C97D7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n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los problemas que lo ameriten según las sugerencias de los estudiantes.</w:t>
            </w:r>
          </w:p>
          <w:p w:rsidR="0065250C" w:rsidRPr="0065250C" w:rsidRDefault="007C3422" w:rsidP="0076510D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El área de matemáticas organizara y aplicara una prueba concurso donde participaran la totalidad de los estudiantes, con el fin de identificar los avance</w:t>
            </w:r>
            <w:r w:rsidR="00C97D7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s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del proyecto, la actividad se realizar</w:t>
            </w:r>
            <w:r w:rsidR="00C97D7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a en el </w:t>
            </w:r>
            <w:r w:rsidR="0076510D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último</w:t>
            </w:r>
            <w:r w:rsidR="00C97D7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periodo del año escolar</w:t>
            </w:r>
            <w:r w:rsidRPr="007C342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65250C" w:rsidRPr="0065250C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Marco Operativo</w:t>
            </w:r>
          </w:p>
          <w:p w:rsidR="0065250C" w:rsidRDefault="0065250C" w:rsidP="0065250C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  <w:p w:rsidR="0076510D" w:rsidRPr="0076510D" w:rsidRDefault="0076510D" w:rsidP="0076510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76510D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Actividad</w:t>
            </w:r>
          </w:p>
          <w:p w:rsidR="0076510D" w:rsidRPr="0076510D" w:rsidRDefault="0076510D" w:rsidP="0076510D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76510D">
              <w:rPr>
                <w:rFonts w:ascii="Arial" w:hAnsi="Arial" w:cs="Arial"/>
                <w:sz w:val="20"/>
                <w:szCs w:val="20"/>
                <w:lang w:eastAsia="es-MX"/>
              </w:rPr>
              <w:t xml:space="preserve">El </w:t>
            </w:r>
            <w:r w:rsidRPr="0076510D">
              <w:rPr>
                <w:rFonts w:ascii="Arial" w:hAnsi="Arial" w:cs="Arial"/>
                <w:iCs/>
                <w:sz w:val="20"/>
                <w:szCs w:val="20"/>
                <w:lang w:eastAsia="es-MX"/>
              </w:rPr>
              <w:t>proyecto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 xml:space="preserve"> Descanso Activo </w:t>
            </w:r>
            <w:r w:rsidRPr="0076510D">
              <w:rPr>
                <w:rFonts w:ascii="Arial" w:hAnsi="Arial" w:cs="Arial"/>
                <w:iCs/>
                <w:sz w:val="20"/>
                <w:szCs w:val="20"/>
                <w:lang w:eastAsia="es-MX"/>
              </w:rPr>
              <w:t>se desarrollará durante el periodo de descanso de los estudiantes del colegio M</w:t>
            </w:r>
            <w:r>
              <w:rPr>
                <w:rFonts w:ascii="Arial" w:hAnsi="Arial" w:cs="Arial"/>
                <w:iCs/>
                <w:sz w:val="20"/>
                <w:szCs w:val="20"/>
                <w:lang w:eastAsia="es-MX"/>
              </w:rPr>
              <w:t xml:space="preserve">etropolitano del sur, durante este tiempo encontraran diferentes juegos los cuales podrá adquirir a través de los compañeros encargados de la distribución de dejando el respectivo carnet estudiantil, que será devuelto al regresar el material </w:t>
            </w:r>
            <w:r w:rsidR="00C43BE1">
              <w:rPr>
                <w:rFonts w:ascii="Arial" w:hAnsi="Arial" w:cs="Arial"/>
                <w:iCs/>
                <w:sz w:val="20"/>
                <w:szCs w:val="20"/>
                <w:lang w:eastAsia="es-MX"/>
              </w:rPr>
              <w:t>didáctico.</w:t>
            </w:r>
          </w:p>
          <w:p w:rsidR="0076510D" w:rsidRPr="0076510D" w:rsidRDefault="00C43BE1" w:rsidP="00A75E2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s-MX" w:eastAsia="es-MX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proyecto quedara abierto a las diferentes áreas del conocimiento que se pueden integrar con diferentes tipos de actividades</w:t>
            </w:r>
            <w:r w:rsidR="002C0E79">
              <w:rPr>
                <w:rFonts w:ascii="Arial" w:hAnsi="Arial" w:cs="Arial"/>
                <w:sz w:val="20"/>
                <w:szCs w:val="20"/>
                <w:lang w:eastAsia="es-MX"/>
              </w:rPr>
              <w:t xml:space="preserve"> afines a su saber, con el fin de generar múltiples opciones de esparcimiento</w:t>
            </w:r>
            <w:r w:rsidR="00872E40">
              <w:rPr>
                <w:rFonts w:ascii="Arial" w:hAnsi="Arial" w:cs="Arial"/>
                <w:sz w:val="20"/>
                <w:szCs w:val="20"/>
                <w:lang w:eastAsia="es-MX"/>
              </w:rPr>
              <w:t>.   Tambiénestarán desarrollando las actividades  las sedes de preescolar y primaria de la ciudadela metropolitana.</w:t>
            </w:r>
          </w:p>
          <w:p w:rsidR="0076510D" w:rsidRDefault="00872E40" w:rsidP="0076510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Entre los juegos disponibles se tiene proyectados los siguientes:</w:t>
            </w:r>
          </w:p>
          <w:p w:rsidR="00872E40" w:rsidRPr="00A75E2C" w:rsidRDefault="00872E40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>10 ajedreces</w:t>
            </w:r>
          </w:p>
          <w:p w:rsidR="00872E40" w:rsidRPr="00A75E2C" w:rsidRDefault="00872E40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>10 damas chinas</w:t>
            </w:r>
          </w:p>
          <w:p w:rsidR="00872E40" w:rsidRPr="00A75E2C" w:rsidRDefault="00872E40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>10 juegos de los caballeros</w:t>
            </w:r>
          </w:p>
          <w:p w:rsidR="00872E40" w:rsidRPr="00A75E2C" w:rsidRDefault="00872E40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 torres de </w:t>
            </w:r>
            <w:r w:rsidR="0096077B" w:rsidRPr="00A75E2C">
              <w:rPr>
                <w:rFonts w:ascii="Arial" w:hAnsi="Arial" w:cs="Arial"/>
                <w:sz w:val="20"/>
                <w:szCs w:val="20"/>
                <w:lang w:eastAsia="es-MX"/>
              </w:rPr>
              <w:t>Hanói</w:t>
            </w:r>
          </w:p>
          <w:p w:rsidR="00A75E2C" w:rsidRPr="00A75E2C" w:rsidRDefault="00872E40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 </w:t>
            </w:r>
            <w:r w:rsidR="0096077B" w:rsidRPr="00A75E2C">
              <w:rPr>
                <w:rFonts w:ascii="Arial" w:hAnsi="Arial" w:cs="Arial"/>
                <w:sz w:val="20"/>
                <w:szCs w:val="20"/>
                <w:lang w:eastAsia="es-MX"/>
              </w:rPr>
              <w:t>dominós</w:t>
            </w:r>
          </w:p>
          <w:p w:rsidR="00A75E2C" w:rsidRPr="00A75E2C" w:rsidRDefault="00872E40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 tangram </w:t>
            </w:r>
          </w:p>
          <w:p w:rsidR="00A75E2C" w:rsidRPr="00A75E2C" w:rsidRDefault="00872E40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 </w:t>
            </w:r>
            <w:proofErr w:type="spellStart"/>
            <w:r w:rsidR="0096077B" w:rsidRPr="00A75E2C">
              <w:rPr>
                <w:rFonts w:ascii="Arial" w:hAnsi="Arial" w:cs="Arial"/>
                <w:sz w:val="20"/>
                <w:szCs w:val="20"/>
                <w:lang w:eastAsia="es-MX"/>
              </w:rPr>
              <w:t>examinó</w:t>
            </w:r>
            <w:r w:rsidR="0096077B">
              <w:rPr>
                <w:rFonts w:ascii="Arial" w:hAnsi="Arial" w:cs="Arial"/>
                <w:sz w:val="20"/>
                <w:szCs w:val="20"/>
                <w:lang w:eastAsia="es-MX"/>
              </w:rPr>
              <w:t>s</w:t>
            </w:r>
            <w:proofErr w:type="spellEnd"/>
          </w:p>
          <w:p w:rsidR="00A75E2C" w:rsidRPr="00A75E2C" w:rsidRDefault="0096077B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s-MX"/>
              </w:rPr>
              <w:t>pentominó</w:t>
            </w:r>
            <w:r w:rsidR="00872E40" w:rsidRPr="00A75E2C">
              <w:rPr>
                <w:rFonts w:ascii="Arial" w:hAnsi="Arial" w:cs="Arial"/>
                <w:sz w:val="20"/>
                <w:szCs w:val="20"/>
                <w:lang w:eastAsia="es-MX"/>
              </w:rPr>
              <w:t>s</w:t>
            </w:r>
            <w:proofErr w:type="spellEnd"/>
          </w:p>
          <w:p w:rsidR="00A75E2C" w:rsidRPr="00A75E2C" w:rsidRDefault="0096077B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s-MX"/>
              </w:rPr>
              <w:t>triominós</w:t>
            </w:r>
            <w:proofErr w:type="spellEnd"/>
          </w:p>
          <w:p w:rsidR="00A75E2C" w:rsidRPr="00A75E2C" w:rsidRDefault="00A75E2C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 </w:t>
            </w:r>
            <w:proofErr w:type="spellStart"/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>yengas</w:t>
            </w:r>
            <w:proofErr w:type="spellEnd"/>
          </w:p>
          <w:p w:rsidR="00A75E2C" w:rsidRPr="00A75E2C" w:rsidRDefault="00A75E2C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 </w:t>
            </w:r>
            <w:r w:rsidR="0096077B" w:rsidRPr="00A75E2C">
              <w:rPr>
                <w:rFonts w:ascii="Arial" w:hAnsi="Arial" w:cs="Arial"/>
                <w:sz w:val="20"/>
                <w:szCs w:val="20"/>
                <w:lang w:eastAsia="es-MX"/>
              </w:rPr>
              <w:t>póker</w:t>
            </w:r>
            <w:r w:rsidR="0096077B">
              <w:rPr>
                <w:rFonts w:ascii="Arial" w:hAnsi="Arial" w:cs="Arial"/>
                <w:sz w:val="20"/>
                <w:szCs w:val="20"/>
                <w:lang w:eastAsia="es-MX"/>
              </w:rPr>
              <w:t>es</w:t>
            </w:r>
          </w:p>
          <w:p w:rsidR="00A75E2C" w:rsidRPr="00A75E2C" w:rsidRDefault="00A75E2C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 xml:space="preserve">5 </w:t>
            </w:r>
            <w:proofErr w:type="spellStart"/>
            <w:r w:rsidR="0096077B" w:rsidRPr="00A75E2C">
              <w:rPr>
                <w:rFonts w:ascii="Arial" w:hAnsi="Arial" w:cs="Arial"/>
                <w:sz w:val="20"/>
                <w:szCs w:val="20"/>
                <w:lang w:eastAsia="es-MX"/>
              </w:rPr>
              <w:t>rummy</w:t>
            </w:r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>kiw</w:t>
            </w:r>
            <w:proofErr w:type="spellEnd"/>
          </w:p>
          <w:p w:rsidR="00872E40" w:rsidRPr="00A75E2C" w:rsidRDefault="00A75E2C" w:rsidP="00A75E2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E2C">
              <w:rPr>
                <w:rFonts w:ascii="Arial" w:hAnsi="Arial" w:cs="Arial"/>
                <w:sz w:val="20"/>
                <w:szCs w:val="20"/>
                <w:lang w:eastAsia="es-MX"/>
              </w:rPr>
              <w:t>10 rompecabezas.</w:t>
            </w:r>
          </w:p>
          <w:p w:rsidR="00A75E2C" w:rsidRPr="0076510D" w:rsidRDefault="00A75E2C" w:rsidP="00A75E2C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76510D" w:rsidRPr="0076510D" w:rsidRDefault="0076510D" w:rsidP="0076510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6510D">
              <w:rPr>
                <w:rFonts w:ascii="Arial" w:hAnsi="Arial" w:cs="Arial"/>
                <w:sz w:val="20"/>
                <w:szCs w:val="20"/>
                <w:lang w:eastAsia="es-MX"/>
              </w:rPr>
              <w:lastRenderedPageBreak/>
              <w:t>En los primeros niveles, dada la afinidad de las matemáticas con la l</w:t>
            </w:r>
            <w:r w:rsidR="00A75E2C">
              <w:rPr>
                <w:rFonts w:ascii="Arial" w:hAnsi="Arial" w:cs="Arial"/>
                <w:sz w:val="20"/>
                <w:szCs w:val="20"/>
                <w:lang w:eastAsia="es-MX"/>
              </w:rPr>
              <w:t>ingüística, se proponen juego</w:t>
            </w:r>
            <w:r w:rsidRPr="0076510D">
              <w:rPr>
                <w:rFonts w:ascii="Arial" w:hAnsi="Arial" w:cs="Arial"/>
                <w:sz w:val="20"/>
                <w:szCs w:val="20"/>
                <w:lang w:eastAsia="es-MX"/>
              </w:rPr>
              <w:t xml:space="preserve">s que buscan fortalecer el proceso </w:t>
            </w:r>
            <w:proofErr w:type="spellStart"/>
            <w:r w:rsidRPr="0076510D">
              <w:rPr>
                <w:rFonts w:ascii="Arial" w:hAnsi="Arial" w:cs="Arial"/>
                <w:sz w:val="20"/>
                <w:szCs w:val="20"/>
                <w:lang w:eastAsia="es-MX"/>
              </w:rPr>
              <w:t>lecto</w:t>
            </w:r>
            <w:proofErr w:type="spellEnd"/>
            <w:r w:rsidRPr="0076510D">
              <w:rPr>
                <w:rFonts w:ascii="Arial" w:hAnsi="Arial" w:cs="Arial"/>
                <w:sz w:val="20"/>
                <w:szCs w:val="20"/>
                <w:lang w:eastAsia="es-MX"/>
              </w:rPr>
              <w:t xml:space="preserve">–escritor y el enriquecimiento del vocabulario.  </w:t>
            </w:r>
          </w:p>
          <w:p w:rsidR="0076510D" w:rsidRPr="0076510D" w:rsidRDefault="0076510D" w:rsidP="0076510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65250C" w:rsidRDefault="0076510D" w:rsidP="00413F2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6510D">
              <w:rPr>
                <w:rFonts w:ascii="Arial" w:hAnsi="Arial" w:cs="Arial"/>
                <w:sz w:val="20"/>
                <w:szCs w:val="20"/>
                <w:lang w:eastAsia="es-MX"/>
              </w:rPr>
              <w:t>C</w:t>
            </w:r>
            <w:r w:rsidR="00A75E2C">
              <w:rPr>
                <w:rFonts w:ascii="Arial" w:hAnsi="Arial" w:cs="Arial"/>
                <w:sz w:val="20"/>
                <w:szCs w:val="20"/>
                <w:lang w:eastAsia="es-MX"/>
              </w:rPr>
              <w:t xml:space="preserve">ada juego desarrolla habilidades de pensamiento lógico-matemático, estrategias de resolución de problemas, análisis de probabilidades, técnicas de muestreo, pensamiento </w:t>
            </w:r>
            <w:r w:rsidR="00413F22">
              <w:rPr>
                <w:rFonts w:ascii="Arial" w:hAnsi="Arial" w:cs="Arial"/>
                <w:sz w:val="20"/>
                <w:szCs w:val="20"/>
                <w:lang w:eastAsia="es-MX"/>
              </w:rPr>
              <w:t>geométrico</w:t>
            </w:r>
            <w:r w:rsidR="00A75E2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espacial por otra parte se establecen y fortalecen las normas de convivencia y respeto por el otro</w:t>
            </w:r>
            <w:r w:rsidR="00413F22">
              <w:rPr>
                <w:rFonts w:ascii="Arial" w:hAnsi="Arial" w:cs="Arial"/>
                <w:sz w:val="20"/>
                <w:szCs w:val="20"/>
                <w:lang w:eastAsia="es-MX"/>
              </w:rPr>
              <w:t>, generando así una ampliación y profundización en el tr4abajo de los valores y las virtudes humanas.</w:t>
            </w:r>
          </w:p>
          <w:p w:rsidR="00413F22" w:rsidRPr="00413F22" w:rsidRDefault="00413F22" w:rsidP="00413F2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C1A1B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BC1A1B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Destinatario</w:t>
            </w:r>
          </w:p>
          <w:p w:rsidR="00BC1A1B" w:rsidRPr="00BC1A1B" w:rsidRDefault="00BC1A1B" w:rsidP="00BC1A1B">
            <w:p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bookmarkStart w:id="0" w:name="_GoBack"/>
            <w:bookmarkEnd w:id="0"/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Este proyecto está dirigido pr</w:t>
            </w:r>
            <w:r w:rsidRPr="00F375B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imordialmente a los estudiantes del colegio</w:t>
            </w:r>
            <w:r w:rsidR="00F375BE" w:rsidRPr="00F375B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METROPOLITANO DEL SURy docentes </w:t>
            </w: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en gener</w:t>
            </w:r>
            <w:r w:rsidR="00F375BE" w:rsidRPr="00F375B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al</w:t>
            </w: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65250C" w:rsidRPr="0065250C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Responsables</w:t>
            </w:r>
          </w:p>
          <w:p w:rsidR="00F375BE" w:rsidRPr="00F375BE" w:rsidRDefault="00F375BE" w:rsidP="00F375BE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F375BE" w:rsidRPr="00F375BE" w:rsidRDefault="00F375BE" w:rsidP="00F375BE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F375B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LUIS LOZADA RUIZ</w:t>
            </w:r>
          </w:p>
          <w:p w:rsidR="00F375BE" w:rsidRPr="00F375BE" w:rsidRDefault="00F375BE" w:rsidP="00F375BE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F375B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LEONARDO PRADA MARTINEZ</w:t>
            </w:r>
          </w:p>
          <w:p w:rsidR="0065250C" w:rsidRPr="0065250C" w:rsidRDefault="00F375BE" w:rsidP="00F375B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F375B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OSCAR JAVIER MEZA</w:t>
            </w: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:rsidR="0065250C" w:rsidRPr="0065250C" w:rsidRDefault="0065250C" w:rsidP="00F375BE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Fecha</w:t>
            </w: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Este proyecto se realiza durante la totalidad del año lectivo 2012.</w:t>
            </w:r>
          </w:p>
          <w:p w:rsidR="0096077B" w:rsidRPr="0096077B" w:rsidRDefault="0096077B" w:rsidP="0096077B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  <w:p w:rsidR="0096077B" w:rsidRPr="0096077B" w:rsidRDefault="0096077B" w:rsidP="0096077B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96077B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Recursos</w:t>
            </w:r>
          </w:p>
          <w:p w:rsidR="0096077B" w:rsidRDefault="0096077B" w:rsidP="0096077B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96077B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Los recursos necesarios para la ejecución del proyecto es  el valor 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de la elaboración del material didáctico el cual se estima invertir $1’000.000 para que el proyecto inicie.</w:t>
            </w:r>
          </w:p>
          <w:p w:rsidR="0096077B" w:rsidRPr="0096077B" w:rsidRDefault="0096077B" w:rsidP="0096077B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Luego de la autorización del proyecto se anexarán las cotizaciones para escoger la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mas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viable.</w:t>
            </w:r>
          </w:p>
          <w:p w:rsidR="00413F22" w:rsidRPr="0065250C" w:rsidRDefault="00413F22" w:rsidP="0096077B">
            <w:p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  <w:p w:rsidR="0065250C" w:rsidRPr="0065250C" w:rsidRDefault="0065250C" w:rsidP="00F375BE">
            <w:pPr>
              <w:ind w:left="708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</w:tbl>
    <w:p w:rsidR="0065250C" w:rsidRDefault="0065250C" w:rsidP="0065250C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val="es-MX"/>
        </w:rPr>
      </w:pPr>
    </w:p>
    <w:p w:rsidR="0096077B" w:rsidRDefault="0096077B" w:rsidP="0065250C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val="es-MX"/>
        </w:rPr>
      </w:pPr>
    </w:p>
    <w:p w:rsidR="0096077B" w:rsidRPr="0065250C" w:rsidRDefault="0096077B" w:rsidP="0065250C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365"/>
        <w:gridCol w:w="4355"/>
      </w:tblGrid>
      <w:tr w:rsidR="0065250C" w:rsidRPr="0065250C" w:rsidTr="007E3330">
        <w:tc>
          <w:tcPr>
            <w:tcW w:w="4489" w:type="dxa"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Elaborado por:</w:t>
            </w:r>
          </w:p>
        </w:tc>
        <w:tc>
          <w:tcPr>
            <w:tcW w:w="4489" w:type="dxa"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Aprobado por:</w:t>
            </w:r>
          </w:p>
        </w:tc>
      </w:tr>
      <w:tr w:rsidR="0065250C" w:rsidRPr="0065250C" w:rsidTr="007E3330">
        <w:tc>
          <w:tcPr>
            <w:tcW w:w="4489" w:type="dxa"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LUIS LOZADA RUIZ</w:t>
            </w: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65250C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LEONARDO PRADA MARTINEZ</w:t>
            </w:r>
          </w:p>
        </w:tc>
        <w:tc>
          <w:tcPr>
            <w:tcW w:w="4489" w:type="dxa"/>
          </w:tcPr>
          <w:p w:rsidR="0065250C" w:rsidRPr="0065250C" w:rsidRDefault="0065250C" w:rsidP="0065250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es-MX"/>
              </w:rPr>
            </w:pPr>
          </w:p>
          <w:p w:rsidR="0065250C" w:rsidRPr="0065250C" w:rsidRDefault="0065250C" w:rsidP="0065250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</w:tbl>
    <w:p w:rsidR="0065250C" w:rsidRPr="0065250C" w:rsidRDefault="0065250C" w:rsidP="0065250C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val="es-MX"/>
        </w:rPr>
      </w:pPr>
    </w:p>
    <w:p w:rsidR="008C5C0A" w:rsidRPr="00F375BE" w:rsidRDefault="008C5C0A" w:rsidP="002E25CA">
      <w:pPr>
        <w:rPr>
          <w:rFonts w:ascii="Arial" w:hAnsi="Arial" w:cs="Arial"/>
          <w:b/>
          <w:sz w:val="20"/>
          <w:szCs w:val="20"/>
          <w:lang w:val="es-MX"/>
        </w:rPr>
      </w:pPr>
    </w:p>
    <w:p w:rsidR="0065250C" w:rsidRPr="00F375BE" w:rsidRDefault="0065250C" w:rsidP="008C5C0A">
      <w:pPr>
        <w:jc w:val="center"/>
        <w:rPr>
          <w:rFonts w:ascii="Arial" w:hAnsi="Arial" w:cs="Arial"/>
          <w:b/>
          <w:sz w:val="20"/>
          <w:szCs w:val="20"/>
        </w:rPr>
      </w:pPr>
    </w:p>
    <w:p w:rsidR="0065250C" w:rsidRPr="00F375BE" w:rsidRDefault="0065250C" w:rsidP="008C5C0A">
      <w:pPr>
        <w:jc w:val="center"/>
        <w:rPr>
          <w:rFonts w:ascii="Arial" w:hAnsi="Arial" w:cs="Arial"/>
          <w:b/>
          <w:sz w:val="20"/>
          <w:szCs w:val="20"/>
        </w:rPr>
      </w:pPr>
    </w:p>
    <w:p w:rsidR="0065250C" w:rsidRPr="00F375BE" w:rsidRDefault="0065250C" w:rsidP="008C5C0A">
      <w:pPr>
        <w:jc w:val="center"/>
        <w:rPr>
          <w:rFonts w:ascii="Arial" w:hAnsi="Arial" w:cs="Arial"/>
          <w:b/>
          <w:sz w:val="20"/>
          <w:szCs w:val="20"/>
        </w:rPr>
      </w:pPr>
    </w:p>
    <w:sectPr w:rsidR="0065250C" w:rsidRPr="00F375BE" w:rsidSect="00682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89C"/>
    <w:multiLevelType w:val="hybridMultilevel"/>
    <w:tmpl w:val="74A8C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5842"/>
    <w:multiLevelType w:val="hybridMultilevel"/>
    <w:tmpl w:val="4BEAE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190B"/>
    <w:multiLevelType w:val="hybridMultilevel"/>
    <w:tmpl w:val="06B823F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3D6"/>
    <w:multiLevelType w:val="hybridMultilevel"/>
    <w:tmpl w:val="0BCE177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DC0CAE"/>
    <w:multiLevelType w:val="hybridMultilevel"/>
    <w:tmpl w:val="5E043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6474"/>
    <w:multiLevelType w:val="hybridMultilevel"/>
    <w:tmpl w:val="69EA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295"/>
    <w:multiLevelType w:val="hybridMultilevel"/>
    <w:tmpl w:val="6E9A69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94F0E"/>
    <w:multiLevelType w:val="hybridMultilevel"/>
    <w:tmpl w:val="0ABA06E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F2426A0"/>
    <w:multiLevelType w:val="hybridMultilevel"/>
    <w:tmpl w:val="FDA0AAEC"/>
    <w:lvl w:ilvl="0" w:tplc="D286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12A55"/>
    <w:multiLevelType w:val="multilevel"/>
    <w:tmpl w:val="2C202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C0A"/>
    <w:rsid w:val="000D1A19"/>
    <w:rsid w:val="00112946"/>
    <w:rsid w:val="00117A56"/>
    <w:rsid w:val="0027325E"/>
    <w:rsid w:val="002C0E79"/>
    <w:rsid w:val="002E25CA"/>
    <w:rsid w:val="00363A64"/>
    <w:rsid w:val="00413F22"/>
    <w:rsid w:val="004D0889"/>
    <w:rsid w:val="00586D95"/>
    <w:rsid w:val="0065250C"/>
    <w:rsid w:val="006822FF"/>
    <w:rsid w:val="0076510D"/>
    <w:rsid w:val="007C3422"/>
    <w:rsid w:val="008376D3"/>
    <w:rsid w:val="008568F5"/>
    <w:rsid w:val="00872E40"/>
    <w:rsid w:val="008C5C0A"/>
    <w:rsid w:val="008F236B"/>
    <w:rsid w:val="009577D1"/>
    <w:rsid w:val="0096077B"/>
    <w:rsid w:val="00A75E2C"/>
    <w:rsid w:val="00B24457"/>
    <w:rsid w:val="00BC1A1B"/>
    <w:rsid w:val="00C43BE1"/>
    <w:rsid w:val="00C84438"/>
    <w:rsid w:val="00C87CC7"/>
    <w:rsid w:val="00C97D72"/>
    <w:rsid w:val="00DB1597"/>
    <w:rsid w:val="00DC2AF9"/>
    <w:rsid w:val="00E900D1"/>
    <w:rsid w:val="00F375BE"/>
    <w:rsid w:val="00F4679C"/>
    <w:rsid w:val="00F9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8C5C0A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32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25C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250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6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0802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72066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lozadaruiz2004@conexco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eonardoprad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ardoprad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2419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PERSONAL</cp:lastModifiedBy>
  <cp:revision>2</cp:revision>
  <dcterms:created xsi:type="dcterms:W3CDTF">2012-06-12T12:37:00Z</dcterms:created>
  <dcterms:modified xsi:type="dcterms:W3CDTF">2012-06-12T12:37:00Z</dcterms:modified>
</cp:coreProperties>
</file>